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rFonts w:hint="eastAsia"/>
          <w:sz w:val="32"/>
          <w:szCs w:val="32"/>
        </w:rPr>
      </w:pPr>
      <w:bookmarkStart w:id="0" w:name="_Toc336854275"/>
      <w:r>
        <w:rPr>
          <w:rFonts w:hint="eastAsia"/>
          <w:sz w:val="32"/>
          <w:szCs w:val="32"/>
        </w:rPr>
        <w:t>合肥幼儿师范高等专科学校</w:t>
      </w:r>
    </w:p>
    <w:p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网络课程与学习系统采购需求</w:t>
      </w:r>
      <w:bookmarkStart w:id="4" w:name="_GoBack"/>
      <w:bookmarkEnd w:id="4"/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课程基本要求</w:t>
      </w:r>
      <w:bookmarkEnd w:id="0"/>
    </w:p>
    <w:p>
      <w:pPr>
        <w:pStyle w:val="3"/>
        <w:numPr>
          <w:ilvl w:val="0"/>
          <w:numId w:val="3"/>
        </w:numPr>
        <w:spacing w:before="0" w:after="0" w:line="240" w:lineRule="auto"/>
        <w:rPr>
          <w:sz w:val="28"/>
          <w:szCs w:val="28"/>
        </w:rPr>
      </w:pPr>
      <w:bookmarkStart w:id="1" w:name="_Toc336854276"/>
      <w:r>
        <w:rPr>
          <w:rFonts w:hint="eastAsia"/>
          <w:sz w:val="28"/>
          <w:szCs w:val="28"/>
        </w:rPr>
        <w:t>课程体系要求</w:t>
      </w:r>
      <w:bookmarkEnd w:id="1"/>
    </w:p>
    <w:p>
      <w:pPr>
        <w:widowControl/>
        <w:rPr>
          <w:rFonts w:hint="eastAsia" w:ascii="宋体" w:hAnsi="宋体" w:cs="宋体"/>
          <w:sz w:val="24"/>
          <w:szCs w:val="24"/>
        </w:rPr>
      </w:pPr>
      <w:bookmarkStart w:id="2" w:name="_Toc336854277"/>
      <w:r>
        <w:rPr>
          <w:rFonts w:hint="eastAsia" w:ascii="宋体" w:hAnsi="宋体" w:cs="宋体"/>
          <w:sz w:val="24"/>
          <w:szCs w:val="24"/>
        </w:rPr>
        <w:t>课程需具备以下门类：</w:t>
      </w:r>
    </w:p>
    <w:p>
      <w:pPr>
        <w:widowControl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1.1.1综合素养类，以文学、哲学、历史、艺术、社会、科学、国学为顶层设计依据，打破专业视野的局限,帮助学生理解经典名著,对人类、社会、文明、国家与世界的永恒问题进行思考,引导学生逐渐形成对人类面对的共同问题的理解力,培养学生理性审视生活并逐步改造的能力。</w:t>
      </w:r>
    </w:p>
    <w:p>
      <w:pPr>
        <w:widowControl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而阅读作为通识教育不可或缺的一部分，综合素养类版块需具备经典阅读课程，结合课堂内外，双管齐下，即具有阅读学分课和经典导读学分课。阅读学分课，名师直播教学，专人管理，任务点包括领读视频、阅读任务、客观题测验、共读互动（含签到、问卷、投票、讨论）、期末论文考核；经典导读学分课，导读书目精选经典，广泛涉及哲学、历史、文学、艺术、社会、科学、国学各领域，通过一课一书与一课多书两种形式，让学生既能通过精读一本书洞悉一种思想，也能通过涉猎多本好书了解一个领域。</w:t>
      </w:r>
    </w:p>
    <w:p>
      <w:pPr>
        <w:widowControl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综合素养课程需提供至少</w:t>
      </w:r>
      <w:r>
        <w:rPr>
          <w:rFonts w:ascii="宋体" w:hAnsi="宋体" w:cs="宋体"/>
          <w:sz w:val="24"/>
          <w:szCs w:val="24"/>
        </w:rPr>
        <w:t>300</w:t>
      </w:r>
      <w:r>
        <w:rPr>
          <w:rFonts w:hint="eastAsia" w:ascii="宋体" w:hAnsi="宋体" w:cs="宋体"/>
          <w:sz w:val="24"/>
          <w:szCs w:val="24"/>
        </w:rPr>
        <w:t>门课程供学校选择。</w:t>
      </w:r>
    </w:p>
    <w:p>
      <w:pPr>
        <w:widowControl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1.1.2通用能力类，以就业为导向,以能力为本位,以职场生活为教学内容,以行为引导为教学方法，弥补专业教育模式带来的缺憾,提升中国大学生的综合就业力和职业适应力,帮助大学生更好地应对知识经济与信息化社会所带来的挑战,实现成功就业。提供至少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hint="eastAsia" w:ascii="宋体" w:hAnsi="宋体" w:cs="宋体"/>
          <w:sz w:val="24"/>
          <w:szCs w:val="24"/>
        </w:rPr>
        <w:t>门课程供学校选择。</w:t>
      </w:r>
    </w:p>
    <w:p>
      <w:pPr>
        <w:widowControl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1.1.3成长基础类，以大学生的身心健康发展为导向,通过对安全意识、生理健康、心理健康、职业规划、公民素质等领域。提供至少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门课程供学校选择。</w:t>
      </w:r>
    </w:p>
    <w:p>
      <w:pPr>
        <w:widowControl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1.1.4创新创业类，紧扣国家政策，围绕提高大学生创新创业实战能力的目标，构建包括必修和选修、基础和进阶、理论与实战的创新创业课程体系。提供至少1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门课程供学校选择。</w:t>
      </w:r>
    </w:p>
    <w:p>
      <w:pPr>
        <w:widowControl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1.1.5公共必修类，收录教育部规定的高校必修科目,包括思政、军事理论、大学生创业基础、形势与政策等。提供至少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门课程供学校选择。</w:t>
      </w:r>
    </w:p>
    <w:p>
      <w:pPr>
        <w:pStyle w:val="3"/>
        <w:numPr>
          <w:ilvl w:val="0"/>
          <w:numId w:val="3"/>
        </w:numPr>
        <w:spacing w:before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课程数量要求（按照学校要求课程填写完善下表）</w:t>
      </w:r>
      <w:bookmarkEnd w:id="2"/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涵盖</w:t>
      </w:r>
      <w:r>
        <w:rPr>
          <w:rFonts w:ascii="宋体" w:hAnsi="宋体" w:cs="宋体"/>
          <w:kern w:val="0"/>
          <w:sz w:val="24"/>
          <w:szCs w:val="24"/>
        </w:rPr>
        <w:t>上述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大</w:t>
      </w:r>
      <w:r>
        <w:rPr>
          <w:rFonts w:ascii="宋体" w:hAnsi="宋体" w:cs="宋体"/>
          <w:kern w:val="0"/>
          <w:sz w:val="24"/>
          <w:szCs w:val="24"/>
        </w:rPr>
        <w:t>课程体系，</w:t>
      </w:r>
      <w:r>
        <w:rPr>
          <w:rFonts w:hint="eastAsia" w:ascii="宋体" w:hAnsi="宋体" w:cs="宋体"/>
          <w:kern w:val="0"/>
          <w:sz w:val="24"/>
          <w:szCs w:val="24"/>
        </w:rPr>
        <w:t>可</w:t>
      </w:r>
      <w:r>
        <w:rPr>
          <w:rFonts w:ascii="宋体" w:hAnsi="宋体" w:cs="宋体"/>
          <w:kern w:val="0"/>
          <w:sz w:val="24"/>
          <w:szCs w:val="24"/>
        </w:rPr>
        <w:t>选修课程</w:t>
      </w:r>
      <w:r>
        <w:rPr>
          <w:rFonts w:hint="eastAsia" w:ascii="宋体" w:hAnsi="宋体" w:cs="宋体"/>
          <w:kern w:val="0"/>
          <w:sz w:val="24"/>
          <w:szCs w:val="24"/>
        </w:rPr>
        <w:t>总</w:t>
      </w:r>
      <w:r>
        <w:rPr>
          <w:rFonts w:ascii="宋体" w:hAnsi="宋体" w:cs="宋体"/>
          <w:kern w:val="0"/>
          <w:sz w:val="24"/>
          <w:szCs w:val="24"/>
        </w:rPr>
        <w:t>数量不少于</w:t>
      </w:r>
      <w:r>
        <w:rPr>
          <w:rFonts w:hint="eastAsia" w:ascii="宋体" w:hAnsi="宋体" w:cs="宋体"/>
          <w:kern w:val="0"/>
          <w:sz w:val="24"/>
          <w:szCs w:val="24"/>
        </w:rPr>
        <w:t>35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hint="eastAsia" w:ascii="宋体" w:hAnsi="宋体" w:cs="宋体"/>
          <w:kern w:val="0"/>
          <w:sz w:val="24"/>
          <w:szCs w:val="24"/>
        </w:rPr>
        <w:t>门，</w:t>
      </w:r>
      <w:r>
        <w:rPr>
          <w:rFonts w:ascii="宋体" w:hAnsi="宋体" w:cs="宋体"/>
          <w:kern w:val="0"/>
          <w:sz w:val="24"/>
          <w:szCs w:val="24"/>
        </w:rPr>
        <w:t>需包括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（且不限于）</w:t>
      </w:r>
      <w:r>
        <w:rPr>
          <w:rFonts w:ascii="宋体" w:hAnsi="宋体" w:cs="宋体"/>
          <w:kern w:val="0"/>
          <w:sz w:val="24"/>
          <w:szCs w:val="24"/>
        </w:rPr>
        <w:t>以下课程：</w:t>
      </w:r>
    </w:p>
    <w:p>
      <w:pPr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ascii="宋体" w:hAnsi="宋体" w:cs="宋体"/>
          <w:kern w:val="0"/>
          <w:sz w:val="24"/>
          <w:szCs w:val="24"/>
        </w:rPr>
      </w:pPr>
    </w:p>
    <w:tbl>
      <w:tblPr>
        <w:tblStyle w:val="37"/>
        <w:tblW w:w="8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1"/>
        <w:gridCol w:w="30"/>
        <w:gridCol w:w="1182"/>
        <w:gridCol w:w="2279"/>
        <w:gridCol w:w="1141"/>
        <w:gridCol w:w="1376"/>
        <w:gridCol w:w="80"/>
        <w:gridCol w:w="15"/>
        <w:gridCol w:w="6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中国传统文化（2门）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建议学分</w:t>
            </w:r>
          </w:p>
        </w:tc>
        <w:tc>
          <w:tcPr>
            <w:tcW w:w="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国学智慧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徽州文化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黄山学院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文明起源与历史演变（1门）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建议学分</w:t>
            </w:r>
          </w:p>
        </w:tc>
        <w:tc>
          <w:tcPr>
            <w:tcW w:w="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古代史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中央民族大学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文学修养与艺术鉴赏（5门）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建议学分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中华诗词之美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音乐鉴赏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中央音乐学院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书法鉴赏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中国艺术研究院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舞蹈鉴赏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北京舞蹈学院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美术鉴赏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科学发现与技术革新（1门）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建议学分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魅力科学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南开大学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清华大学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院士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美国斯坦福大学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国家地震局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院士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院士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通用能力（5门）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建议学分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应用文写作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口才艺术与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社交礼仪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创新创业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同济大学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同济大学</w:t>
            </w:r>
          </w:p>
        </w:tc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同济大学</w:t>
            </w:r>
          </w:p>
        </w:tc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南开大学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南开大学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南开大学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南开大学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南开大学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南开大学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38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情绪管理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中国人民大学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成长基础（3门）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建议学分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中日友好医院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14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职业生涯规划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（入学版）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仁能达教育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科技公司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总监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首都经贸大学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  <w:tc>
          <w:tcPr>
            <w:tcW w:w="14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大学生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公民素质教育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清华大学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中国社会科学院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研究员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北京师范大学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中国科学院研究生院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中山大学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天津中医药大学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北京师范大学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教授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中国社会科学院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研究员</w:t>
            </w:r>
          </w:p>
        </w:tc>
        <w:tc>
          <w:tcPr>
            <w:tcW w:w="147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8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891" w:firstLineChars="1200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公共课（3门）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建议学分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形势与政策（2019年春）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思想道德修养与法律基础</w:t>
            </w:r>
          </w:p>
        </w:tc>
        <w:tc>
          <w:tcPr>
            <w:tcW w:w="11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吉林大学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40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首都师范大学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51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首都师范大学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副教授</w:t>
            </w:r>
          </w:p>
        </w:tc>
        <w:tc>
          <w:tcPr>
            <w:tcW w:w="1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中国青年政治学院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通修课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华东师范大学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</w:p>
        </w:tc>
        <w:tc>
          <w:tcPr>
            <w:tcW w:w="1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/>
        </w:rPr>
      </w:pPr>
    </w:p>
    <w:p>
      <w:pPr>
        <w:pStyle w:val="48"/>
        <w:numPr>
          <w:ilvl w:val="0"/>
          <w:numId w:val="4"/>
        </w:numPr>
        <w:ind w:firstLineChars="0"/>
        <w:rPr>
          <w:rFonts w:ascii="宋体" w:hAnsi="宋体" w:cs="宋体"/>
          <w:vanish/>
          <w:kern w:val="0"/>
          <w:szCs w:val="21"/>
        </w:rPr>
      </w:pPr>
    </w:p>
    <w:p>
      <w:pPr>
        <w:pStyle w:val="48"/>
        <w:numPr>
          <w:ilvl w:val="0"/>
          <w:numId w:val="4"/>
        </w:numPr>
        <w:ind w:firstLineChars="0"/>
        <w:rPr>
          <w:rFonts w:ascii="宋体" w:hAnsi="宋体" w:cs="宋体"/>
          <w:vanish/>
          <w:kern w:val="0"/>
          <w:szCs w:val="21"/>
        </w:rPr>
      </w:pPr>
    </w:p>
    <w:p>
      <w:pPr>
        <w:pStyle w:val="48"/>
        <w:numPr>
          <w:ilvl w:val="0"/>
          <w:numId w:val="4"/>
        </w:numPr>
        <w:ind w:firstLineChars="0"/>
        <w:rPr>
          <w:rFonts w:ascii="宋体" w:hAnsi="宋体" w:cs="宋体"/>
          <w:vanish/>
          <w:kern w:val="0"/>
          <w:szCs w:val="21"/>
        </w:rPr>
      </w:pPr>
    </w:p>
    <w:p>
      <w:pPr>
        <w:pStyle w:val="48"/>
        <w:numPr>
          <w:ilvl w:val="1"/>
          <w:numId w:val="4"/>
        </w:numPr>
        <w:ind w:firstLineChars="0"/>
        <w:rPr>
          <w:rFonts w:ascii="宋体" w:hAnsi="宋体" w:cs="宋体"/>
          <w:vanish/>
          <w:kern w:val="0"/>
          <w:szCs w:val="21"/>
        </w:rPr>
      </w:pPr>
    </w:p>
    <w:p>
      <w:pPr>
        <w:pStyle w:val="48"/>
        <w:numPr>
          <w:ilvl w:val="1"/>
          <w:numId w:val="4"/>
        </w:numPr>
        <w:ind w:firstLineChars="0"/>
        <w:rPr>
          <w:rFonts w:ascii="宋体" w:hAnsi="宋体" w:cs="宋体"/>
          <w:vanish/>
          <w:kern w:val="0"/>
          <w:szCs w:val="21"/>
        </w:rPr>
      </w:pPr>
    </w:p>
    <w:p>
      <w:pPr>
        <w:pStyle w:val="48"/>
        <w:numPr>
          <w:ilvl w:val="1"/>
          <w:numId w:val="4"/>
        </w:numPr>
        <w:ind w:firstLineChars="0"/>
        <w:rPr>
          <w:rFonts w:ascii="宋体" w:hAnsi="宋体" w:cs="宋体"/>
          <w:vanish/>
          <w:kern w:val="0"/>
          <w:szCs w:val="21"/>
        </w:rPr>
      </w:pPr>
    </w:p>
    <w:p>
      <w:pPr>
        <w:pStyle w:val="2"/>
        <w:numPr>
          <w:ilvl w:val="0"/>
          <w:numId w:val="5"/>
        </w:numPr>
        <w:spacing w:before="0" w:after="0" w:line="240" w:lineRule="auto"/>
        <w:rPr>
          <w:sz w:val="32"/>
          <w:szCs w:val="32"/>
        </w:rPr>
      </w:pPr>
      <w:bookmarkStart w:id="3" w:name="_Toc336854279"/>
      <w:r>
        <w:rPr>
          <w:rFonts w:hint="eastAsia"/>
          <w:sz w:val="32"/>
          <w:szCs w:val="32"/>
        </w:rPr>
        <w:t>具体性能技术要求</w:t>
      </w:r>
      <w:bookmarkEnd w:id="3"/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1．课程质量要求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1.1师资来源：双一流高校、中国科学院、中国工程院、中国社会科学院、美国常春藤联盟等国内外知名院校和科研机构。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1.2★版权问题：供应商已解决课程版权事宜，不会给学校带来版权纠纷，不会因为相关争议影响学校正常使用。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1.3课程视频：课程必需高清拍摄，可在线以720P以上清晰度流畅播放；有完整清晰的简体中文字幕（外语课程有清晰对应语种字幕），有独立字幕文件；视频中配备图片等富媒体素材帮助学生学习；每个视频文件平均时长不少于14分钟，MP4格式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1.4辅学资源：每门课程除了完善的教学视频外，需包含与本门课程相关的图书、专题两部分内容，以丰富学生的课外学习。其中，相关电子版参考文献平均至少10册，相关专题平均至少4个。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1.5课程相关：每门课程需要配有完善的教学大纲，相关试题库（选择题、判断题、简答题）；平均每门课程包含150道左右练习题。试题每年更新一次。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上述资源均可在网络上直接访问。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2．通识素养测评系统基本要求</w:t>
      </w:r>
    </w:p>
    <w:p>
      <w:pPr>
        <w:jc w:val="left"/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2.1测评内容体系要求</w:t>
      </w:r>
    </w:p>
    <w:p>
      <w:pPr>
        <w:jc w:val="left"/>
        <w:rPr>
          <w:rFonts w:hint="eastAsia"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测评内容体系需具备以下类别：</w:t>
      </w:r>
    </w:p>
    <w:p>
      <w:pPr>
        <w:jc w:val="left"/>
        <w:rPr>
          <w:rFonts w:hint="eastAsia"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2.1.1国学基础：以经典国学作品为基础，综合考察中国传统国学相关知识。主要包括中国古代哲学思想解读、古代经典作品内容与分析、古代礼仪与文明实际应用等内容。</w:t>
      </w:r>
    </w:p>
    <w:p>
      <w:pPr>
        <w:jc w:val="left"/>
        <w:rPr>
          <w:rFonts w:hint="eastAsia"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2.1.2科学技术：全方位剖析科学发展的历史及其精神内涵。考核数学、物理、化学、生物等领域的基础理论，以及神经、认知、材料、计算机、互联网等领域的最新进展情况。</w:t>
      </w:r>
    </w:p>
    <w:p>
      <w:pPr>
        <w:jc w:val="left"/>
        <w:rPr>
          <w:rFonts w:hint="eastAsia"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2.1.3社会管理：揭示经济活动的一般规律，不仅仅关注经济活动的一般表象，更能够深入考察经济活动背后的理论与实际运作。同时兼顾社会管理领域，解读管理活动的理论与内涵。</w:t>
      </w:r>
    </w:p>
    <w:p>
      <w:pPr>
        <w:jc w:val="left"/>
        <w:rPr>
          <w:rFonts w:hint="eastAsia"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2.1.4人类思想：探索人类信仰、法理、哲学等思想的发展历程及其产生的重大影响，能够从本质上揭示各种思想的异同。同时能够联结中西思想领域，以宏观视野对思想进行对比。</w:t>
      </w:r>
    </w:p>
    <w:p>
      <w:pPr>
        <w:jc w:val="left"/>
        <w:rPr>
          <w:rFonts w:hint="eastAsia"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2.1.5文学艺术：对人类自古至今的文学与艺术进行全面而适当的考核。兼顾中西、古今等多个视角，囊括文学、音乐、绘画、建筑、雕塑、摄影等各个相关领域的主要作品、大师、事件。</w:t>
      </w:r>
    </w:p>
    <w:p>
      <w:pPr>
        <w:jc w:val="left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2.1.6历史文明：多维度展现世界各种文化的兴起与衰亡，剖析人类历史进程的关键转折点，发掘个人、组织、事件、环境等各个要素对整个人类文明演变产生的深远影响。</w:t>
      </w:r>
    </w:p>
    <w:p>
      <w:pPr>
        <w:jc w:val="left"/>
        <w:rPr>
          <w:rFonts w:hint="eastAsia" w:cs="宋体" w:asciiTheme="majorEastAsia" w:hAnsiTheme="majorEastAsia" w:eastAsiaTheme="majorEastAsia"/>
          <w:sz w:val="24"/>
          <w:szCs w:val="24"/>
        </w:rPr>
      </w:pPr>
    </w:p>
    <w:p>
      <w:pPr>
        <w:jc w:val="left"/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2.2测评主要功能要求</w:t>
      </w:r>
    </w:p>
    <w:p>
      <w:pPr>
        <w:jc w:val="left"/>
        <w:rPr>
          <w:rFonts w:hint="eastAsia"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测评产品至少需具备以下功能：</w:t>
      </w:r>
    </w:p>
    <w:p>
      <w:pPr>
        <w:jc w:val="left"/>
        <w:rPr>
          <w:rFonts w:hint="eastAsia"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2.2.1测评功能：自动识别学生所在机构，判断对应学校通识课程的开课课程信息。在学生测评过程中记录学生的参与时间、最终成绩、每道题目的答题情况等详细数据。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2.2.2引导功能：测评完成后，必须能够推荐相关学习资料，帮助学生提高通识素养能力。要求推荐不少于6门相关课程及10本相关图书。学生应能够直接在测评系统内试看推荐的课程，并能够直接进入选课系统选课。推荐的相关图书应能够直接阅读全文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2.2.3学习功能：给学生提供3种以上提升通识素养的工具，帮助学生针对自身薄弱领域进行提升。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2.2.4数据统计分析功能：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2.2.4.1测评完成后，需要提供详细的学生报告。报告中需要包括测评内容体系各门类的详细分数、成绩评价、全国对比情况，要能够回看学生历次测评结果。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2.2.4.2测评过程中，需要给校方提供实时监控后台，以便查看各年级、各专业学生的参与情况；并能够直接提供各分数段、各内容体系维度的数据分析结果，向学校展示学生整体通识素养水平。</w:t>
      </w:r>
    </w:p>
    <w:p>
      <w:pPr>
        <w:rPr>
          <w:rFonts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2.2.4.3测评结束后，需向学校提供详尽完整的《通识素养提升解决方案》。该解决方案需要分年级、学院、内容体系维度等方面对学生数据进行分析，并且针对学校的开课清单、通识资源建设、教学改革方面提出合理化建议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2.3测评题目数量及时长要求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2.3.1测评题目内容需要涵盖上述所有测评内容门类。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2.3.2单次测评题目数量不少于60道，测评总时长不少于15分钟。</w:t>
      </w:r>
    </w:p>
    <w:p>
      <w:pPr>
        <w:rPr>
          <w:rFonts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2.3.3题库包含题目总量不少于1000道。其中测评体系中各门类不少于150道。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2.4测评题目内容要求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2.4.1每道题目必须包含题目答案解析，能够明确解释题目考核相关知识点。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2.4.2测评需要包括文字题、图片题及音频题三类。</w:t>
      </w:r>
    </w:p>
    <w:p>
      <w:pPr>
        <w:rPr>
          <w:rFonts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2.4.3测评题目需要有完整的测评知识点体系作为依据。知识点体系至少包括三个层级，对知识点表述清晰、准确、全面。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2.5测评质量要求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2.5.1在整个测评系统功能开发、内容开发过程中，应有专业的专家委员会全程监督指导。专家委员会应至少包括3名高校专职教师。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2.5.2整个测评系统需有专人监测系统运行情况。系统功能出现问题需在24小时内修复。系统内容出现问题需在24小时内修改或替换。</w:t>
      </w:r>
    </w:p>
    <w:p>
      <w:pPr>
        <w:rPr>
          <w:rFonts w:hint="eastAsia"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测评题目每年更新数量需不低于200道。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3．教学管理与在线学习功能要求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 学校教学管理功能要求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3.1.1 提供学校专属站点和域名，支持定制学校个性化课程网站，学生可通过个性化网站进行登录。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3.1.2 站点数据独立存储、独立维护，保障各学校站点之间互不冲突。所有数据实时备份，保障数据安全。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3.1.3 支持各站点更新维护，并保证更新维护不影响数据。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3.1.4 设置管理员、教师、学生三个用户角色并赋予不同用户权限：管理员可以添加、编辑、锁定、删除二级管理员、教师和学生账号；可以模拟教师和学生登录；教师可以在课程下添加和删除学生，不影响后台数据。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3.1.5支持学生在教务系统选课，再将选课数据导入尔雅平台。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3.1.6 支持在平台上自主选课，学校可以根据需要限定每人选课门数、学分数上限以及每门课程选课人数上限。支持学生选课前试听课程。支持限时退选，教师可设置是否自主选课，是否允许退选。平台支持必修课直接导入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3.1.7 平台支持学生信息数据的统一导入与学习成绩的统一导出，提供数据模板。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3.1.8 学生考核包含视频、作业、考试、在线阅读多个维度，要求能根据学校需要统一设置，也能根据不同课程分别设置。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3.1.9 平台支持对助教教师及学生的行为进行记录与分析。包括学生使用各模块学习的时间分配、学习次数，学生学习教学资料、参与辅助教学的情况汇总；提供教师工作行为记录分析，包括教师使用各模块教学的时间分配、教学次数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3.1.10 采用多种手段对某一课程的教学效果进行在线实时统计，对班级成绩进行统计分析，对教师、学生行为进行统计分析，支持表单和图表样式显示结果，可以导出统计结果。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3.1.11 支持课程评价与问卷调查功能。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3.1.12 管理员可在后台设置相应的开课审核机制，根据实际情况选择开课管理，可选择手动审批可或自动审批。</w:t>
      </w:r>
    </w:p>
    <w:p>
      <w:pPr>
        <w:rPr>
          <w:rFonts w:cs="宋体" w:asciiTheme="minorEastAsia" w:hAnsiTheme="minorEastAsia" w:eastAsiaTheme="minorEastAsia"/>
          <w:bCs/>
          <w:sz w:val="24"/>
          <w:szCs w:val="24"/>
        </w:rPr>
      </w:pP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 学生在线学习要求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3.2.1 课程视频需支持闯关式教学。学生必须完成当前任务后方可进入下一环节。系统还需支持一键式取消闯关模式，在取消闯关模式后学生可自由进行学习。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3.2.2 课程支持复习模式，允许学生自由学习。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3.2.3 ★闯关模式中的学习任务点应至少支持视频、作业、阅读三种类型。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3.2.4 学生在线学习课程时需支持进度记忆，支持防止拖拽、防止跳集观看，支持当前活动窗口探测、防止观看课程时进行其他活动。系统支持取消防拖拽、防跳集、当前窗口探测等功能；支持长时间无活动自动停止播放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3.2.5 支持课程视频中插入考题，学生必需回答正确才可继续观看。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3.2.6 支持在线考试功能，考试前支持考试提醒功能，并且可根据教学管理部门要求设置允许重考。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3.2.7 支持学生在线进行讨论、答疑与寻求客服帮助。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3.2.8 支持学生进行在线电子书阅读，可对接学校数字图书馆。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3.2.9 课程支持直播和拓展阅读的功能，并能将这两项纳入学生考核体系。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3.2.10课程开通时学生学习前支持开课提醒功能，告知学生课程学习时间。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3.2.11课程学习中，支持随时根据学生视频、测试、考试、综合成绩、任务点完成率、视频任务点完成率、章节测试完成率、章节访问量、讨论数、作业完成率、考试完成率等维度完成学生学习进度提醒，进行课程督学。</w:t>
      </w:r>
    </w:p>
    <w:p>
      <w:pPr>
        <w:rPr>
          <w:rFonts w:cs="宋体" w:asciiTheme="minorEastAsia" w:hAnsiTheme="minorEastAsia" w:eastAsiaTheme="minorEastAsia"/>
          <w:bCs/>
          <w:sz w:val="24"/>
          <w:szCs w:val="24"/>
        </w:rPr>
      </w:pP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 教师教学管理功能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3.3.1 教师可发布各种通知，并实时推送到学生的各个终端；系统自动反馈通知阅读情况，教师可在线查看。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3.3.2 需灵活支持选课学生增删改操作。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3.3.3 教师可设置课程的发布模式：包括闯关教学模式与自由学习模式，还可选择一次性发布学习任务和分批自动发布学习任务。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3.3.4 课程可以无缝链接到学校图书馆资源，可根据课程需要推送相关阅读资料；平台提供可检索查看的数字资源，包含不少于200万册的电子图书和不少于10万集的学术视频。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3.3.5 教师可以选择部分文档进行分享，作为参考资料。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3.3.6 除了平台自带题库外，需支持教师自己出题，进行发布考核，并纳入考核方案，所有习题自动生成题库。支持题库批量上传和下载。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3.3.7 教师可在线组卷并发布考试，支持线上试卷导出打印。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3.3.8 支持客观题在线批阅。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3.3.9 支持根据考核标准进行成绩自动统计。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3.3.10 教学结束后支持课程归档。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3.3.11 ★支持自助式考试与机房统一考试，机房统一考试提供客户端系统。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3.3.12 支持教师在线查看数据统计，包括课程信息总览、每名学生学习详情、课程访问曲线、各项进度和成绩，支持成绩导出和线下成绩导入。</w:t>
      </w:r>
    </w:p>
    <w:p>
      <w:pPr>
        <w:rPr>
          <w:rFonts w:cs="宋体" w:asciiTheme="minorEastAsia" w:hAnsiTheme="minorEastAsia" w:eastAsiaTheme="minorEastAsia"/>
          <w:bCs/>
          <w:sz w:val="24"/>
          <w:szCs w:val="24"/>
        </w:rPr>
      </w:pP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3.4 学习空间功能要求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3.4.1 为每个教师与学生提供一个个性化学习空间。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3.4.2 学习空间可集成各种个性化信息与应用，需提供APP接口。学校或第三方可以开放一些应用放到应用中心，学生和老师可以将其添加到自己的学习空间。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3.4.3 学习空间应具备以下功能或应用：日程管理、课程管理、PBL教学、资源专题、学习笔记、报刊订阅、个人云盘、小组交流等。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3.4.4 学习空间需展现学生已经选学的全部课程或教师开设的全部课程。</w:t>
      </w:r>
    </w:p>
    <w:p>
      <w:pPr>
        <w:rPr>
          <w:rFonts w:cs="宋体" w:asciiTheme="minorEastAsia" w:hAnsiTheme="minorEastAsia" w:eastAsiaTheme="minorEastAsia"/>
          <w:bCs/>
          <w:sz w:val="24"/>
          <w:szCs w:val="24"/>
        </w:rPr>
      </w:pP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 移动教学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3.5.1 支持iOS和安卓两个平台，支持手机和平板电脑等设备，实现在线移动学习、讨论、答疑、交互等功能。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3.5.2 移动端与PC端学习进度、学习数据保持同步，教师可以对课程和学生进行统一管理。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3.5.3 支持手机直播功能，学生可以通过移动端参加网络课程在线直播，并且可以在观看直播的同时，参与教学互动。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3.5.4 支持在线学习及过程监控，防止拖拽，防止跳集。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3.4.4 支持在线完成作业、讨论、答疑、考试等操作。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3.5.6 支持在线阅读相关电子书，同步记录学生的阅读进度，并将阅读计入到考核当中。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3.5.7 ★支持混合式教学，支持课堂互动，支持发布签到、抢答、选人、问卷、统计等课堂教学工具。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3.5.8 包含个人移动学习评价系统，根据使用量、笔记量、订阅量、阅读量等进行排名、评级，从而激励学习行为。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3.5.9 支持手机端统一考试功能。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3.5.10 实现订阅相关课程视频，不少于100个订阅源。如科技，教育，文史等。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3.5.11 支持用户基于学习进行社交，支持学习动态分享，支持跨校交流，支持用户自由组建基于学习或兴趣的小组或社区。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3.5.12 支持学习笔记管理、编辑、分享，支持笔记文件夹共享，支持相互评论和转发。</w:t>
      </w:r>
    </w:p>
    <w:p>
      <w:pPr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3.5.13 支持富媒体资源专题在线制作和订阅。</w:t>
      </w: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</w:t>
      </w:r>
      <w:r>
        <w:rPr>
          <w:rFonts w:cs="宋体" w:asciiTheme="minorEastAsia" w:hAnsiTheme="minorEastAsia" w:eastAsiaTheme="minorEastAsia"/>
          <w:bCs/>
          <w:sz w:val="24"/>
          <w:szCs w:val="24"/>
        </w:rPr>
        <w:t xml:space="preserve">.5.14 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★支持人脸识别自动检验学生身份，支持考试过程中随机抽检学生身份。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4．通识教育学习问卷调查系统要求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网络课程结课后需要通过在线问卷调查形式收集选课学生对课程、师资和平台的客观评价。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4.1问卷发放形式：手机端、问卷星网页端 2种形式。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4.2单份调查问卷题目不少于30道，其中至少包含1道主观题。 内容需包括对课程总体评价、课程和视频制作评价、师资评价、平台评价及建议和意见等。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4.3针对问卷数据从以下 5 个方面进行具体分析：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4.3.1总体评价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包含课程满意度、课程推荐率、课程收获情况等3个维度。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4.3.2课程设计与制作评价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包含课程设计评价、视频制作评价等2个维度。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4.3.3师资评价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包含学术水平、讲解能力、表现力、内容启发性等4个维度。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4.4.4测验和考核评价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包含测验与试题对学习效果的检测、测验与试题知识点覆盖情况、测验与试题数量设置、测验与试题难度设置等4个维度。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4.4.5平台评价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包含平台稳定度、平台运行具体情况等2个维度。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4.4反馈与建议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Cs/>
          <w:sz w:val="24"/>
          <w:szCs w:val="24"/>
        </w:rPr>
        <w:t>根据课程运行数据分析和学生调查问卷数据分析，针对学校在课程运行和管理过程中可能存在的问题，提出有针对性的参考意见。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5．课程运行服务要求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5.1 承诺具备400万学生在线学习的运营服务能力。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5.2 支持云服务、混合部署、本地化部署等多种部署方式，确保视频访问时提供校园网与公网切换服务：平台远程访问、视频数据本地安装、公网访问。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5.3 供应商需提供软件系统更新维护服务。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5.4 供应商提供教学和教务全程服务，包括开课/结课的所有对接服务，学生信息、学习成绩及学分的导入/导出等。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5.5 提供学生学习进度监控、课程访问统计分析、学习诚信监控，可根据学校需求随时提供教学运行数据和不诚信学习名单。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5.6 结课后提供针对学校的课程运行报告。供应商需提供省内三所学校的课程使用报告。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5.7 提供在线客服、电话客服、邮箱客服解决学生、管理员、辅导老师使用问题；学生学习的导学、督学（短信、电话、邮件）服务。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5.8 供应商应在学校所属省（市、自治区）建设有本地化服务团队，团队规模不少于20人，并提供人员清单及办公场所证明。</w:t>
      </w:r>
    </w:p>
    <w:p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5.9 学习进程中对学习情况进行问卷调查分析，了解学生感受和意见。</w:t>
      </w:r>
    </w:p>
    <w:p>
      <w:pPr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5.10 供应商应提供上门用户培训服务，且时间、地点、规模由学校制定，每学年培训不少于2次；供应商应免费提供操作手册、培训课程和视频等参考资料。</w:t>
      </w:r>
    </w:p>
    <w:p>
      <w:pPr>
        <w:rPr>
          <w:rFonts w:hint="eastAsia" w:ascii="宋体" w:hAnsi="宋体" w:cs="宋体"/>
          <w:bCs/>
          <w:sz w:val="24"/>
          <w:szCs w:val="24"/>
        </w:rPr>
      </w:pPr>
    </w:p>
    <w:p>
      <w:pPr>
        <w:rPr>
          <w:rFonts w:hint="eastAsia" w:ascii="宋体" w:hAnsi="宋体" w:cs="宋体"/>
          <w:bCs/>
          <w:sz w:val="32"/>
          <w:szCs w:val="32"/>
        </w:rPr>
      </w:pPr>
    </w:p>
    <w:p>
      <w:pPr>
        <w:rPr>
          <w:rFonts w:hint="eastAsia" w:ascii="宋体" w:hAnsi="宋体" w:cs="宋体"/>
          <w:bCs/>
          <w:sz w:val="32"/>
          <w:szCs w:val="32"/>
        </w:rPr>
      </w:pPr>
    </w:p>
    <w:p>
      <w:pPr>
        <w:rPr>
          <w:rFonts w:hint="eastAsia" w:ascii="宋体" w:hAnsi="宋体" w:cs="宋体"/>
          <w:bCs/>
          <w:sz w:val="32"/>
          <w:szCs w:val="32"/>
        </w:rPr>
      </w:pPr>
    </w:p>
    <w:p>
      <w:pPr>
        <w:rPr>
          <w:rFonts w:hint="eastAsia" w:ascii="宋体" w:hAnsi="宋体" w:cs="宋体"/>
          <w:bCs/>
          <w:sz w:val="32"/>
          <w:szCs w:val="32"/>
        </w:rPr>
      </w:pPr>
    </w:p>
    <w:p>
      <w:pPr>
        <w:rPr>
          <w:rFonts w:hint="eastAsia" w:ascii="宋体" w:hAnsi="宋体" w:cs="宋体"/>
          <w:bCs/>
          <w:sz w:val="32"/>
          <w:szCs w:val="32"/>
        </w:rPr>
      </w:pPr>
    </w:p>
    <w:p>
      <w:pPr>
        <w:pStyle w:val="48"/>
        <w:numPr>
          <w:ilvl w:val="0"/>
          <w:numId w:val="6"/>
        </w:numPr>
        <w:ind w:firstLineChars="0"/>
        <w:rPr>
          <w:rFonts w:ascii="宋体" w:hAnsi="宋体" w:cs="宋体"/>
          <w:vanish/>
          <w:kern w:val="0"/>
          <w:szCs w:val="21"/>
        </w:rPr>
      </w:pPr>
    </w:p>
    <w:p>
      <w:pPr>
        <w:pStyle w:val="48"/>
        <w:numPr>
          <w:ilvl w:val="0"/>
          <w:numId w:val="6"/>
        </w:numPr>
        <w:ind w:firstLineChars="0"/>
        <w:rPr>
          <w:rFonts w:ascii="宋体" w:hAnsi="宋体" w:cs="宋体"/>
          <w:vanish/>
          <w:kern w:val="0"/>
          <w:szCs w:val="21"/>
        </w:rPr>
      </w:pPr>
    </w:p>
    <w:p>
      <w:pPr>
        <w:pStyle w:val="48"/>
        <w:numPr>
          <w:ilvl w:val="0"/>
          <w:numId w:val="6"/>
        </w:numPr>
        <w:ind w:firstLineChars="0"/>
        <w:rPr>
          <w:rFonts w:ascii="宋体" w:hAnsi="宋体" w:cs="宋体"/>
          <w:vanish/>
          <w:kern w:val="0"/>
          <w:szCs w:val="21"/>
        </w:rPr>
      </w:pPr>
    </w:p>
    <w:p>
      <w:pPr>
        <w:pStyle w:val="48"/>
        <w:numPr>
          <w:ilvl w:val="0"/>
          <w:numId w:val="6"/>
        </w:numPr>
        <w:ind w:firstLineChars="0"/>
        <w:rPr>
          <w:rFonts w:ascii="宋体" w:hAnsi="宋体" w:cs="宋体"/>
          <w:vanish/>
          <w:kern w:val="0"/>
          <w:szCs w:val="21"/>
        </w:rPr>
      </w:pPr>
    </w:p>
    <w:p>
      <w:pPr>
        <w:pStyle w:val="48"/>
        <w:numPr>
          <w:ilvl w:val="1"/>
          <w:numId w:val="6"/>
        </w:numPr>
        <w:ind w:firstLineChars="0"/>
        <w:rPr>
          <w:rFonts w:ascii="宋体" w:hAnsi="宋体" w:cs="宋体"/>
          <w:vanish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left"/>
      <w:rPr>
        <w:rFonts w:ascii="微软雅黑" w:hAnsi="微软雅黑" w:eastAsia="微软雅黑"/>
        <w:b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 w:tentative="0">
      <w:start w:val="1"/>
      <w:numFmt w:val="bullet"/>
      <w:pStyle w:val="40"/>
      <w:lvlText w:val=""/>
      <w:lvlJc w:val="left"/>
      <w:pPr>
        <w:tabs>
          <w:tab w:val="left" w:pos="0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hint="default" w:ascii="Courier New" w:hAnsi="Courier New"/>
      </w:rPr>
    </w:lvl>
    <w:lvl w:ilvl="3" w:tentative="0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hint="default" w:ascii="Courier New" w:hAnsi="Courier New"/>
      </w:rPr>
    </w:lvl>
    <w:lvl w:ilvl="7" w:tentative="0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1791FEB"/>
    <w:multiLevelType w:val="multilevel"/>
    <w:tmpl w:val="01791F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08C46CB8"/>
    <w:multiLevelType w:val="multilevel"/>
    <w:tmpl w:val="08C46CB8"/>
    <w:lvl w:ilvl="0" w:tentative="0">
      <w:start w:val="1"/>
      <w:numFmt w:val="japaneseCounting"/>
      <w:pStyle w:val="2"/>
      <w:lvlText w:val="%1、"/>
      <w:lvlJc w:val="left"/>
      <w:pPr>
        <w:ind w:left="432" w:hanging="432"/>
      </w:pPr>
      <w:rPr>
        <w:rFonts w:ascii="Calibri" w:hAnsi="Calibri" w:eastAsia="宋体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3">
    <w:nsid w:val="105A0C32"/>
    <w:multiLevelType w:val="multilevel"/>
    <w:tmpl w:val="105A0C32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2B0DBB"/>
    <w:multiLevelType w:val="multilevel"/>
    <w:tmpl w:val="172B0D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66231B18"/>
    <w:multiLevelType w:val="multilevel"/>
    <w:tmpl w:val="66231B18"/>
    <w:lvl w:ilvl="0" w:tentative="0">
      <w:start w:val="2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350"/>
    <w:rsid w:val="0000558D"/>
    <w:rsid w:val="00006160"/>
    <w:rsid w:val="000258D1"/>
    <w:rsid w:val="00057737"/>
    <w:rsid w:val="00063381"/>
    <w:rsid w:val="00067815"/>
    <w:rsid w:val="000870AF"/>
    <w:rsid w:val="00091CDC"/>
    <w:rsid w:val="000C4511"/>
    <w:rsid w:val="000E0DC2"/>
    <w:rsid w:val="000E5412"/>
    <w:rsid w:val="000F27DF"/>
    <w:rsid w:val="00113B88"/>
    <w:rsid w:val="0012527B"/>
    <w:rsid w:val="0012596E"/>
    <w:rsid w:val="0014459A"/>
    <w:rsid w:val="00172A27"/>
    <w:rsid w:val="0019590F"/>
    <w:rsid w:val="001B43A4"/>
    <w:rsid w:val="001C5FF2"/>
    <w:rsid w:val="001D274A"/>
    <w:rsid w:val="001E3451"/>
    <w:rsid w:val="001E407D"/>
    <w:rsid w:val="001F31F7"/>
    <w:rsid w:val="001F366D"/>
    <w:rsid w:val="001F7541"/>
    <w:rsid w:val="002254ED"/>
    <w:rsid w:val="00231BCC"/>
    <w:rsid w:val="0023462E"/>
    <w:rsid w:val="00267C2E"/>
    <w:rsid w:val="00267D00"/>
    <w:rsid w:val="002805D4"/>
    <w:rsid w:val="0028198E"/>
    <w:rsid w:val="002959D7"/>
    <w:rsid w:val="002B19DC"/>
    <w:rsid w:val="002D45AC"/>
    <w:rsid w:val="002D64A1"/>
    <w:rsid w:val="002E757D"/>
    <w:rsid w:val="0031087B"/>
    <w:rsid w:val="00311AC4"/>
    <w:rsid w:val="00332C98"/>
    <w:rsid w:val="0034191D"/>
    <w:rsid w:val="00347192"/>
    <w:rsid w:val="00370ED8"/>
    <w:rsid w:val="003778DC"/>
    <w:rsid w:val="00382431"/>
    <w:rsid w:val="003844F0"/>
    <w:rsid w:val="00396B22"/>
    <w:rsid w:val="003C0ACE"/>
    <w:rsid w:val="003D0973"/>
    <w:rsid w:val="003E1140"/>
    <w:rsid w:val="003E6C50"/>
    <w:rsid w:val="0040127C"/>
    <w:rsid w:val="00413377"/>
    <w:rsid w:val="00423510"/>
    <w:rsid w:val="00432029"/>
    <w:rsid w:val="00465985"/>
    <w:rsid w:val="00472521"/>
    <w:rsid w:val="004936AE"/>
    <w:rsid w:val="004A65BA"/>
    <w:rsid w:val="004B1E70"/>
    <w:rsid w:val="004C6A1F"/>
    <w:rsid w:val="005219E2"/>
    <w:rsid w:val="00541BBD"/>
    <w:rsid w:val="005562E6"/>
    <w:rsid w:val="00593D78"/>
    <w:rsid w:val="005D4797"/>
    <w:rsid w:val="005E7D29"/>
    <w:rsid w:val="00600963"/>
    <w:rsid w:val="006379B9"/>
    <w:rsid w:val="0064715E"/>
    <w:rsid w:val="00651C9A"/>
    <w:rsid w:val="00653DD5"/>
    <w:rsid w:val="006B0528"/>
    <w:rsid w:val="006D039A"/>
    <w:rsid w:val="006D0DAE"/>
    <w:rsid w:val="006D2E49"/>
    <w:rsid w:val="006F6B63"/>
    <w:rsid w:val="00713AF1"/>
    <w:rsid w:val="00726CC2"/>
    <w:rsid w:val="007310D2"/>
    <w:rsid w:val="00735777"/>
    <w:rsid w:val="0074026E"/>
    <w:rsid w:val="007438EB"/>
    <w:rsid w:val="00745473"/>
    <w:rsid w:val="00766B59"/>
    <w:rsid w:val="007732D9"/>
    <w:rsid w:val="00782A67"/>
    <w:rsid w:val="00790778"/>
    <w:rsid w:val="007909A2"/>
    <w:rsid w:val="00794903"/>
    <w:rsid w:val="007A2ED3"/>
    <w:rsid w:val="007C0D00"/>
    <w:rsid w:val="007D6E98"/>
    <w:rsid w:val="007E170D"/>
    <w:rsid w:val="00801BFE"/>
    <w:rsid w:val="008028C4"/>
    <w:rsid w:val="008129B6"/>
    <w:rsid w:val="00834900"/>
    <w:rsid w:val="008606D2"/>
    <w:rsid w:val="0086102C"/>
    <w:rsid w:val="008A6E23"/>
    <w:rsid w:val="008D0645"/>
    <w:rsid w:val="008D72AD"/>
    <w:rsid w:val="008E58FC"/>
    <w:rsid w:val="00905289"/>
    <w:rsid w:val="00911077"/>
    <w:rsid w:val="00932B51"/>
    <w:rsid w:val="0094208D"/>
    <w:rsid w:val="009933D0"/>
    <w:rsid w:val="009B0976"/>
    <w:rsid w:val="009B6BB9"/>
    <w:rsid w:val="009D7D4E"/>
    <w:rsid w:val="00A17A34"/>
    <w:rsid w:val="00A24BE6"/>
    <w:rsid w:val="00A5040C"/>
    <w:rsid w:val="00A6656A"/>
    <w:rsid w:val="00A71C80"/>
    <w:rsid w:val="00AA3C86"/>
    <w:rsid w:val="00AD03FA"/>
    <w:rsid w:val="00AE325D"/>
    <w:rsid w:val="00B01225"/>
    <w:rsid w:val="00B029DA"/>
    <w:rsid w:val="00B31CC1"/>
    <w:rsid w:val="00B352EE"/>
    <w:rsid w:val="00B87FD8"/>
    <w:rsid w:val="00BA2687"/>
    <w:rsid w:val="00BE7342"/>
    <w:rsid w:val="00BF3AEE"/>
    <w:rsid w:val="00BF5640"/>
    <w:rsid w:val="00C16D9C"/>
    <w:rsid w:val="00C16FE6"/>
    <w:rsid w:val="00C22D95"/>
    <w:rsid w:val="00C35762"/>
    <w:rsid w:val="00C42D2C"/>
    <w:rsid w:val="00C6373C"/>
    <w:rsid w:val="00C744C9"/>
    <w:rsid w:val="00C825DD"/>
    <w:rsid w:val="00C84F90"/>
    <w:rsid w:val="00CA3284"/>
    <w:rsid w:val="00CE2E84"/>
    <w:rsid w:val="00CF2071"/>
    <w:rsid w:val="00D06D8C"/>
    <w:rsid w:val="00D462E0"/>
    <w:rsid w:val="00D47602"/>
    <w:rsid w:val="00D56576"/>
    <w:rsid w:val="00D73E0C"/>
    <w:rsid w:val="00D75A63"/>
    <w:rsid w:val="00DB3124"/>
    <w:rsid w:val="00DF29E9"/>
    <w:rsid w:val="00E02180"/>
    <w:rsid w:val="00E17A3A"/>
    <w:rsid w:val="00E214E0"/>
    <w:rsid w:val="00E231FF"/>
    <w:rsid w:val="00E2745C"/>
    <w:rsid w:val="00E32040"/>
    <w:rsid w:val="00E41288"/>
    <w:rsid w:val="00E42138"/>
    <w:rsid w:val="00E430BD"/>
    <w:rsid w:val="00E60579"/>
    <w:rsid w:val="00EB05DE"/>
    <w:rsid w:val="00F01754"/>
    <w:rsid w:val="00F47DAA"/>
    <w:rsid w:val="00F5337F"/>
    <w:rsid w:val="00F76160"/>
    <w:rsid w:val="00FB6EA1"/>
    <w:rsid w:val="00FE1354"/>
    <w:rsid w:val="035A2232"/>
    <w:rsid w:val="12A50347"/>
    <w:rsid w:val="13A37818"/>
    <w:rsid w:val="241154EE"/>
    <w:rsid w:val="2EA20EA0"/>
    <w:rsid w:val="2F210C18"/>
    <w:rsid w:val="544257D5"/>
    <w:rsid w:val="63112E6D"/>
    <w:rsid w:val="654B6F2E"/>
    <w:rsid w:val="6AFC5BD0"/>
    <w:rsid w:val="6C204886"/>
    <w:rsid w:val="6EEB3A07"/>
    <w:rsid w:val="78A83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51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2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3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54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55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56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5">
    <w:name w:val="Default Paragraph Font"/>
    <w:unhideWhenUsed/>
    <w:qFormat/>
    <w:uiPriority w:val="1"/>
  </w:style>
  <w:style w:type="table" w:default="1" w:styleId="3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1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14">
    <w:name w:val="Document Map"/>
    <w:basedOn w:val="1"/>
    <w:link w:val="47"/>
    <w:unhideWhenUsed/>
    <w:qFormat/>
    <w:uiPriority w:val="99"/>
    <w:rPr>
      <w:sz w:val="24"/>
      <w:szCs w:val="24"/>
    </w:rPr>
  </w:style>
  <w:style w:type="paragraph" w:styleId="15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16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1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9">
    <w:name w:val="Plain Text"/>
    <w:basedOn w:val="1"/>
    <w:link w:val="45"/>
    <w:qFormat/>
    <w:uiPriority w:val="0"/>
    <w:rPr>
      <w:rFonts w:ascii="宋体" w:hAnsi="Courier New" w:cs="Courier New"/>
      <w:szCs w:val="21"/>
    </w:rPr>
  </w:style>
  <w:style w:type="paragraph" w:styleId="2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21">
    <w:name w:val="index 3"/>
    <w:basedOn w:val="1"/>
    <w:next w:val="1"/>
    <w:unhideWhenUsed/>
    <w:qFormat/>
    <w:uiPriority w:val="99"/>
    <w:pPr>
      <w:ind w:left="400" w:leftChars="400"/>
    </w:pPr>
  </w:style>
  <w:style w:type="paragraph" w:styleId="22">
    <w:name w:val="Balloon Text"/>
    <w:basedOn w:val="1"/>
    <w:link w:val="49"/>
    <w:unhideWhenUsed/>
    <w:qFormat/>
    <w:uiPriority w:val="99"/>
    <w:rPr>
      <w:rFonts w:ascii="Heiti SC Light" w:eastAsia="Heiti SC Light"/>
      <w:sz w:val="18"/>
      <w:szCs w:val="18"/>
    </w:rPr>
  </w:style>
  <w:style w:type="paragraph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5">
    <w:name w:val="toc 1"/>
    <w:basedOn w:val="1"/>
    <w:next w:val="1"/>
    <w:unhideWhenUsed/>
    <w:qFormat/>
    <w:uiPriority w:val="39"/>
  </w:style>
  <w:style w:type="paragraph" w:styleId="2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7">
    <w:name w:val="index heading"/>
    <w:basedOn w:val="1"/>
    <w:next w:val="28"/>
    <w:unhideWhenUsed/>
    <w:qFormat/>
    <w:uiPriority w:val="99"/>
  </w:style>
  <w:style w:type="paragraph" w:styleId="28">
    <w:name w:val="index 1"/>
    <w:basedOn w:val="1"/>
    <w:next w:val="1"/>
    <w:unhideWhenUsed/>
    <w:qFormat/>
    <w:uiPriority w:val="99"/>
  </w:style>
  <w:style w:type="paragraph" w:styleId="29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30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31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3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34">
    <w:name w:val="index 2"/>
    <w:basedOn w:val="1"/>
    <w:next w:val="1"/>
    <w:unhideWhenUsed/>
    <w:qFormat/>
    <w:uiPriority w:val="99"/>
    <w:pPr>
      <w:ind w:left="200" w:leftChars="200"/>
    </w:pPr>
  </w:style>
  <w:style w:type="character" w:styleId="36">
    <w:name w:val="Hyperlink"/>
    <w:basedOn w:val="35"/>
    <w:unhideWhenUsed/>
    <w:qFormat/>
    <w:uiPriority w:val="99"/>
    <w:rPr>
      <w:color w:val="0563C1"/>
      <w:u w:val="single"/>
    </w:rPr>
  </w:style>
  <w:style w:type="table" w:styleId="38">
    <w:name w:val="Table Grid"/>
    <w:basedOn w:val="3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39">
    <w:name w:val="彩色列表 - 强调文字颜色 11"/>
    <w:basedOn w:val="1"/>
    <w:qFormat/>
    <w:uiPriority w:val="0"/>
    <w:pPr>
      <w:ind w:firstLine="420" w:firstLineChars="200"/>
    </w:pPr>
  </w:style>
  <w:style w:type="paragraph" w:customStyle="1" w:styleId="40">
    <w:name w:val="占位符文本1"/>
    <w:basedOn w:val="1"/>
    <w:qFormat/>
    <w:uiPriority w:val="0"/>
    <w:pPr>
      <w:keepNext/>
      <w:numPr>
        <w:ilvl w:val="0"/>
        <w:numId w:val="2"/>
      </w:numPr>
      <w:tabs>
        <w:tab w:val="clear" w:pos="0"/>
      </w:tabs>
      <w:ind w:left="720" w:hanging="720"/>
      <w:contextualSpacing/>
      <w:outlineLvl w:val="0"/>
    </w:pPr>
    <w:rPr>
      <w:rFonts w:ascii="宋体" w:hAnsi="Cambria"/>
      <w:sz w:val="24"/>
      <w:szCs w:val="24"/>
    </w:rPr>
  </w:style>
  <w:style w:type="paragraph" w:customStyle="1" w:styleId="41">
    <w:name w:val="p18"/>
    <w:basedOn w:val="1"/>
    <w:qFormat/>
    <w:uiPriority w:val="0"/>
    <w:pPr>
      <w:widowControl/>
      <w:spacing w:line="360" w:lineRule="auto"/>
      <w:ind w:firstLine="567"/>
    </w:pPr>
    <w:rPr>
      <w:kern w:val="0"/>
      <w:sz w:val="24"/>
    </w:rPr>
  </w:style>
  <w:style w:type="character" w:customStyle="1" w:styleId="42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43">
    <w:name w:val="标题 2 字符"/>
    <w:link w:val="3"/>
    <w:qFormat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44">
    <w:name w:val="标题 3 字符"/>
    <w:link w:val="4"/>
    <w:qFormat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45">
    <w:name w:val="纯文本 字符"/>
    <w:link w:val="1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6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7">
    <w:name w:val="文档结构图 字符"/>
    <w:link w:val="14"/>
    <w:semiHidden/>
    <w:uiPriority w:val="99"/>
    <w:rPr>
      <w:kern w:val="2"/>
      <w:sz w:val="24"/>
      <w:szCs w:val="24"/>
    </w:rPr>
  </w:style>
  <w:style w:type="paragraph" w:customStyle="1" w:styleId="48">
    <w:name w:val="列表段落1"/>
    <w:basedOn w:val="1"/>
    <w:qFormat/>
    <w:uiPriority w:val="34"/>
    <w:pPr>
      <w:ind w:firstLine="420" w:firstLineChars="200"/>
    </w:pPr>
  </w:style>
  <w:style w:type="character" w:customStyle="1" w:styleId="49">
    <w:name w:val="批注框文本 字符"/>
    <w:basedOn w:val="35"/>
    <w:link w:val="22"/>
    <w:semiHidden/>
    <w:qFormat/>
    <w:uiPriority w:val="99"/>
    <w:rPr>
      <w:rFonts w:ascii="Heiti SC Light" w:eastAsia="Heiti SC Light"/>
      <w:kern w:val="2"/>
      <w:sz w:val="18"/>
      <w:szCs w:val="18"/>
    </w:rPr>
  </w:style>
  <w:style w:type="paragraph" w:customStyle="1" w:styleId="50">
    <w:name w:val="彩色列表 - 强调文字颜色 12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</w:rPr>
  </w:style>
  <w:style w:type="character" w:customStyle="1" w:styleId="51">
    <w:name w:val="标题 4 字符"/>
    <w:basedOn w:val="3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标题 5 字符"/>
    <w:basedOn w:val="35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53">
    <w:name w:val="标题 6 字符"/>
    <w:basedOn w:val="35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54">
    <w:name w:val="标题 7 字符"/>
    <w:basedOn w:val="35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55">
    <w:name w:val="标题 8 字符"/>
    <w:basedOn w:val="35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56">
    <w:name w:val="标题 9 字符"/>
    <w:basedOn w:val="35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57">
    <w:name w:val="font31"/>
    <w:basedOn w:val="35"/>
    <w:qFormat/>
    <w:uiPriority w:val="99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paragraph" w:customStyle="1" w:styleId="5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69D52E-4592-40FD-A8C2-8E02F59B30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1489</Words>
  <Characters>8491</Characters>
  <Lines>70</Lines>
  <Paragraphs>19</Paragraphs>
  <TotalTime>1</TotalTime>
  <ScaleCrop>false</ScaleCrop>
  <LinksUpToDate>false</LinksUpToDate>
  <CharactersWithSpaces>9961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2015-11-26T05:04:00Z</dcterms:created>
  <dc:creator>Administrator</dc:creator>
  <cp:lastModifiedBy>筀</cp:lastModifiedBy>
  <dcterms:modified xsi:type="dcterms:W3CDTF">2019-04-09T03:08:58Z</dcterms:modified>
  <dc:title>平台开发环境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